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D44" w:rsidRDefault="00A978A5" w:rsidP="00A978A5">
      <w:pPr>
        <w:jc w:val="center"/>
      </w:pPr>
      <w:r>
        <w:t>Music</w:t>
      </w:r>
      <w:r w:rsidR="005F6174">
        <w:t xml:space="preserve"> Framework</w:t>
      </w:r>
    </w:p>
    <w:p w:rsidR="00A978A5" w:rsidRDefault="00A978A5" w:rsidP="00A978A5">
      <w:pPr>
        <w:jc w:val="center"/>
      </w:pPr>
    </w:p>
    <w:tbl>
      <w:tblPr>
        <w:tblStyle w:val="TableGrid"/>
        <w:tblW w:w="12865" w:type="dxa"/>
        <w:tblLook w:val="04A0" w:firstRow="1" w:lastRow="0" w:firstColumn="1" w:lastColumn="0" w:noHBand="0" w:noVBand="1"/>
      </w:tblPr>
      <w:tblGrid>
        <w:gridCol w:w="1254"/>
        <w:gridCol w:w="2795"/>
        <w:gridCol w:w="2318"/>
        <w:gridCol w:w="1793"/>
        <w:gridCol w:w="2147"/>
        <w:gridCol w:w="2558"/>
      </w:tblGrid>
      <w:tr w:rsidR="00A978A5" w:rsidRPr="00813549" w:rsidTr="00F000E8">
        <w:tc>
          <w:tcPr>
            <w:tcW w:w="1254" w:type="dxa"/>
          </w:tcPr>
          <w:p w:rsidR="00A978A5" w:rsidRPr="00813549" w:rsidRDefault="00A978A5" w:rsidP="00F000E8">
            <w:r w:rsidRPr="00813549">
              <w:t>Framework number and letter</w:t>
            </w:r>
          </w:p>
        </w:tc>
        <w:tc>
          <w:tcPr>
            <w:tcW w:w="2795" w:type="dxa"/>
          </w:tcPr>
          <w:p w:rsidR="00A978A5" w:rsidRPr="00DC775B" w:rsidRDefault="00A978A5" w:rsidP="00F000E8">
            <w:r w:rsidRPr="00DC775B">
              <w:t>Big Idea</w:t>
            </w:r>
          </w:p>
        </w:tc>
        <w:tc>
          <w:tcPr>
            <w:tcW w:w="2318" w:type="dxa"/>
          </w:tcPr>
          <w:p w:rsidR="00A978A5" w:rsidRPr="00813549" w:rsidRDefault="00A978A5" w:rsidP="00F000E8">
            <w:r w:rsidRPr="00813549">
              <w:t>Essential Question</w:t>
            </w:r>
          </w:p>
        </w:tc>
        <w:tc>
          <w:tcPr>
            <w:tcW w:w="1793" w:type="dxa"/>
          </w:tcPr>
          <w:p w:rsidR="00A978A5" w:rsidRPr="00813549" w:rsidRDefault="00A978A5" w:rsidP="00F000E8">
            <w:r w:rsidRPr="00813549">
              <w:t>Concept</w:t>
            </w:r>
          </w:p>
        </w:tc>
        <w:tc>
          <w:tcPr>
            <w:tcW w:w="2147" w:type="dxa"/>
          </w:tcPr>
          <w:p w:rsidR="00A978A5" w:rsidRPr="00813549" w:rsidRDefault="00A978A5" w:rsidP="00F000E8">
            <w:r w:rsidRPr="00813549">
              <w:t>Competency</w:t>
            </w:r>
          </w:p>
        </w:tc>
        <w:tc>
          <w:tcPr>
            <w:tcW w:w="2558" w:type="dxa"/>
          </w:tcPr>
          <w:p w:rsidR="00A978A5" w:rsidRPr="00813549" w:rsidRDefault="00A978A5" w:rsidP="00F000E8"/>
        </w:tc>
      </w:tr>
      <w:tr w:rsidR="00A978A5" w:rsidRPr="00813549" w:rsidTr="00F000E8">
        <w:tc>
          <w:tcPr>
            <w:tcW w:w="1254" w:type="dxa"/>
          </w:tcPr>
          <w:p w:rsidR="00A978A5" w:rsidRPr="00813549" w:rsidRDefault="005F6174" w:rsidP="00A978A5">
            <w:r>
              <w:t>1.A</w:t>
            </w:r>
          </w:p>
        </w:tc>
        <w:tc>
          <w:tcPr>
            <w:tcW w:w="2795" w:type="dxa"/>
          </w:tcPr>
          <w:p w:rsidR="00A978A5" w:rsidRPr="00A978A5" w:rsidRDefault="00A978A5" w:rsidP="00A978A5">
            <w:r w:rsidRPr="00A978A5">
              <w:t>The skills, techniques, elements and principles of the arts can be learned, studied, refined and practiced.</w:t>
            </w:r>
          </w:p>
        </w:tc>
        <w:tc>
          <w:tcPr>
            <w:tcW w:w="2318" w:type="dxa"/>
          </w:tcPr>
          <w:p w:rsidR="00A978A5" w:rsidRPr="00813549" w:rsidRDefault="00A978A5" w:rsidP="00A978A5">
            <w:r>
              <w:rPr>
                <w:rFonts w:ascii="Arial" w:hAnsi="Arial" w:cs="Arial"/>
                <w:color w:val="43413E"/>
                <w:sz w:val="18"/>
                <w:szCs w:val="18"/>
              </w:rPr>
              <w:t>Why it is important to be able to create, recreate and perform music independently?</w:t>
            </w:r>
          </w:p>
        </w:tc>
        <w:tc>
          <w:tcPr>
            <w:tcW w:w="1793"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While much of the school-based musical experience happens within a group, it is also important for people to be able to create, recreate, rehearse and perform music independently. </w:t>
            </w:r>
          </w:p>
        </w:tc>
        <w:tc>
          <w:tcPr>
            <w:tcW w:w="2147"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Demonstrate the ability to independently create, recreate, rehearse and perform musical works and explain why this is important. </w:t>
            </w:r>
          </w:p>
        </w:tc>
        <w:tc>
          <w:tcPr>
            <w:tcW w:w="2558" w:type="dxa"/>
          </w:tcPr>
          <w:p w:rsidR="00A978A5" w:rsidRDefault="00A978A5" w:rsidP="00A978A5">
            <w:pPr>
              <w:jc w:val="center"/>
              <w:rPr>
                <w:rFonts w:ascii="Arial" w:hAnsi="Arial" w:cs="Arial"/>
                <w:color w:val="43413E"/>
                <w:sz w:val="18"/>
                <w:szCs w:val="18"/>
              </w:rPr>
            </w:pPr>
            <w:hyperlink r:id="rId6" w:anchor="22278?cf=y " w:tgtFrame="_blank" w:tooltip="Know and use the elements and principles of each art form to create works in the arts and humanities.   Elements  Dance: • energy/force • space • time Music: • duration • intensity • pitch • timbre  Theatre: • scenario • script/text • set design  Visual Arts: • color • form/shape • line • space • texture • value    Principles  Dance: • choreography • form • genre • improvisation • style • technique   Music: • composition • form • genre • harmony • rhythm • texture   Theatre: • balance • collaboration • discipline • emphasis • focus • intention • movement • rhythm • style • voice   Visual Arts: • balance • contrast • emphasis/focal point • movement/rhythm • proportion/scale • repetition • unity/harmony " w:history="1">
              <w:r>
                <w:rPr>
                  <w:rFonts w:ascii="Arial" w:hAnsi="Arial" w:cs="Arial"/>
                  <w:color w:val="0000FF"/>
                  <w:sz w:val="16"/>
                  <w:szCs w:val="16"/>
                  <w:u w:val="single"/>
                </w:rPr>
                <w:t>9.1.12.A</w:t>
              </w:r>
            </w:hyperlink>
            <w:r>
              <w:rPr>
                <w:rFonts w:ascii="Arial" w:hAnsi="Arial" w:cs="Arial"/>
                <w:color w:val="43413E"/>
                <w:sz w:val="18"/>
                <w:szCs w:val="18"/>
              </w:rPr>
              <w:t xml:space="preserve">, </w:t>
            </w:r>
            <w:hyperlink r:id="rId7" w:anchor="22279?cf=y " w:tgtFrame="_blank" w:tooltip="Recognize, know, use and demonstrate a variety of appropriate arts elements and principles to produce, review and revise original works in the arts.  Dance: • move • perform • read and notate dance • create and choreograph  • improvise  Music: • sing • play an instrument • read and notate music • compose and arrange •improvise  Theatre: • stage productions • read and write scripts • improvise • interpret a role • design sets • direct  Visual Arts: • paint • draw • craft • sculpt • print • design for environment, communication, multi-media " w:history="1">
              <w:r>
                <w:rPr>
                  <w:rFonts w:ascii="Arial" w:hAnsi="Arial" w:cs="Arial"/>
                  <w:color w:val="0000FF"/>
                  <w:sz w:val="16"/>
                  <w:szCs w:val="16"/>
                  <w:u w:val="single"/>
                </w:rPr>
                <w:t>9.1.12.B</w:t>
              </w:r>
            </w:hyperlink>
            <w:r>
              <w:rPr>
                <w:rFonts w:ascii="Arial" w:hAnsi="Arial" w:cs="Arial"/>
                <w:color w:val="43413E"/>
                <w:sz w:val="18"/>
                <w:szCs w:val="18"/>
              </w:rPr>
              <w:t xml:space="preserve">, </w:t>
            </w:r>
            <w:hyperlink r:id="rId8" w:anchor="22280?cf=y " w:tgtFrame="_blank" w:tooltip="Integrate and apply advanced  vocabulary to the arts forms." w:history="1">
              <w:r>
                <w:rPr>
                  <w:rFonts w:ascii="Arial" w:hAnsi="Arial" w:cs="Arial"/>
                  <w:color w:val="0000FF"/>
                  <w:sz w:val="16"/>
                  <w:szCs w:val="16"/>
                  <w:u w:val="single"/>
                </w:rPr>
                <w:t>9.1.12.C</w:t>
              </w:r>
            </w:hyperlink>
            <w:r>
              <w:rPr>
                <w:rFonts w:ascii="Arial" w:hAnsi="Arial" w:cs="Arial"/>
                <w:color w:val="43413E"/>
                <w:sz w:val="18"/>
                <w:szCs w:val="18"/>
              </w:rPr>
              <w:t xml:space="preserve">, </w:t>
            </w:r>
            <w:hyperlink r:id="rId9" w:anchor="22284?cf=y " w:tgtFrame="_blank" w:tooltip="Analyze the effect of rehearsal and  practice sessions." w:history="1">
              <w:r>
                <w:rPr>
                  <w:rFonts w:ascii="Arial" w:hAnsi="Arial" w:cs="Arial"/>
                  <w:color w:val="0000FF"/>
                  <w:sz w:val="16"/>
                  <w:szCs w:val="16"/>
                  <w:u w:val="single"/>
                </w:rPr>
                <w:t>9.1.12.G</w:t>
              </w:r>
            </w:hyperlink>
            <w:r>
              <w:rPr>
                <w:rFonts w:ascii="Arial" w:hAnsi="Arial" w:cs="Arial"/>
                <w:color w:val="43413E"/>
                <w:sz w:val="18"/>
                <w:szCs w:val="18"/>
              </w:rPr>
              <w:t xml:space="preserve">, </w:t>
            </w:r>
            <w:hyperlink r:id="rId10" w:anchor="22285?cf=y " w:tgtFrame="_blank" w:tooltip="Incorporate the effective and safe use  of materials, equipment and tools into  the production of works in the arts at  work and performance spaces.  Evaluate the use and applications  of materials.  Evaluate issues of cleanliness  related to the arts.  Evaluate the use and applications  of mechanical/electrical  equipment.  Evaluate differences among  selected physical  space/environment.  Evaluate the use and applications  of safe props/stage equipment.  Evaluate the use and apply safe  methods for storing materials in  the arts. " w:history="1">
              <w:r>
                <w:rPr>
                  <w:rFonts w:ascii="Arial" w:hAnsi="Arial" w:cs="Arial"/>
                  <w:color w:val="0000FF"/>
                  <w:sz w:val="16"/>
                  <w:szCs w:val="16"/>
                  <w:u w:val="single"/>
                </w:rPr>
                <w:t>9.1.12.H</w:t>
              </w:r>
            </w:hyperlink>
            <w:r>
              <w:rPr>
                <w:rFonts w:ascii="Arial" w:hAnsi="Arial" w:cs="Arial"/>
                <w:color w:val="43413E"/>
                <w:sz w:val="18"/>
                <w:szCs w:val="18"/>
              </w:rPr>
              <w:t xml:space="preserve"> </w:t>
            </w:r>
          </w:p>
        </w:tc>
      </w:tr>
      <w:tr w:rsidR="00A978A5" w:rsidRPr="00813549" w:rsidTr="00F000E8">
        <w:tc>
          <w:tcPr>
            <w:tcW w:w="1254" w:type="dxa"/>
          </w:tcPr>
          <w:p w:rsidR="00A978A5" w:rsidRPr="00813549" w:rsidRDefault="005F6174" w:rsidP="00A978A5">
            <w:r>
              <w:t>1.B</w:t>
            </w:r>
          </w:p>
        </w:tc>
        <w:tc>
          <w:tcPr>
            <w:tcW w:w="2795" w:type="dxa"/>
          </w:tcPr>
          <w:p w:rsidR="00A978A5" w:rsidRPr="00A978A5" w:rsidRDefault="00A978A5" w:rsidP="00A978A5">
            <w:r w:rsidRPr="00A978A5">
              <w:t>Artists use tools and resources as well as their own experiences and skills to create art.</w:t>
            </w:r>
          </w:p>
        </w:tc>
        <w:tc>
          <w:tcPr>
            <w:tcW w:w="2318" w:type="dxa"/>
          </w:tcPr>
          <w:p w:rsidR="00A978A5" w:rsidRDefault="00A978A5" w:rsidP="00A978A5">
            <w:pPr>
              <w:rPr>
                <w:rFonts w:ascii="Arial" w:hAnsi="Arial" w:cs="Arial"/>
                <w:color w:val="43413E"/>
                <w:sz w:val="18"/>
                <w:szCs w:val="18"/>
              </w:rPr>
            </w:pPr>
            <w:r>
              <w:rPr>
                <w:rFonts w:ascii="Arial" w:hAnsi="Arial" w:cs="Arial"/>
                <w:color w:val="43413E"/>
                <w:sz w:val="18"/>
                <w:szCs w:val="18"/>
              </w:rPr>
              <w:t>How and why do people continue to engage in music after graduation?</w:t>
            </w:r>
          </w:p>
        </w:tc>
        <w:tc>
          <w:tcPr>
            <w:tcW w:w="1793"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People use resources available in their communities to make music throughout their lives. </w:t>
            </w:r>
          </w:p>
        </w:tc>
        <w:tc>
          <w:tcPr>
            <w:tcW w:w="2147"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Identify post-graduation opportunities to be part of the musical community as audience members, amateur musicians or professional musicians. </w:t>
            </w:r>
          </w:p>
        </w:tc>
        <w:tc>
          <w:tcPr>
            <w:tcW w:w="2558" w:type="dxa"/>
          </w:tcPr>
          <w:p w:rsidR="00A978A5" w:rsidRDefault="00A978A5" w:rsidP="00A978A5">
            <w:pPr>
              <w:jc w:val="center"/>
              <w:rPr>
                <w:rFonts w:ascii="Arial" w:hAnsi="Arial" w:cs="Arial"/>
                <w:color w:val="43413E"/>
                <w:sz w:val="18"/>
                <w:szCs w:val="18"/>
              </w:rPr>
            </w:pPr>
            <w:hyperlink r:id="rId11" w:anchor="22286?cf=y " w:tgtFrame="_blank" w:tooltip="Distinguish among a variety of  regional arts events and resources and  analyze methods of selection and  admission." w:history="1">
              <w:r>
                <w:rPr>
                  <w:rFonts w:ascii="Arial" w:hAnsi="Arial" w:cs="Arial"/>
                  <w:color w:val="0000FF"/>
                  <w:sz w:val="16"/>
                  <w:szCs w:val="16"/>
                  <w:u w:val="single"/>
                </w:rPr>
                <w:t>9.1.12.I</w:t>
              </w:r>
            </w:hyperlink>
            <w:r>
              <w:rPr>
                <w:rFonts w:ascii="Arial" w:hAnsi="Arial" w:cs="Arial"/>
                <w:color w:val="43413E"/>
                <w:sz w:val="18"/>
                <w:szCs w:val="18"/>
              </w:rPr>
              <w:t xml:space="preserve"> </w:t>
            </w:r>
          </w:p>
        </w:tc>
      </w:tr>
      <w:tr w:rsidR="00A978A5" w:rsidRPr="00813549" w:rsidTr="00F000E8">
        <w:tc>
          <w:tcPr>
            <w:tcW w:w="1254" w:type="dxa"/>
          </w:tcPr>
          <w:p w:rsidR="00A978A5" w:rsidRPr="00813549" w:rsidRDefault="005F6174" w:rsidP="00A978A5">
            <w:r>
              <w:t>1.C</w:t>
            </w:r>
          </w:p>
        </w:tc>
        <w:tc>
          <w:tcPr>
            <w:tcW w:w="2795" w:type="dxa"/>
          </w:tcPr>
          <w:p w:rsidR="00A978A5" w:rsidRPr="00A978A5" w:rsidRDefault="00A978A5" w:rsidP="00A978A5">
            <w:r w:rsidRPr="00A978A5">
              <w:t>The arts provide a medium to understand and exchange ideas.</w:t>
            </w:r>
          </w:p>
        </w:tc>
        <w:tc>
          <w:tcPr>
            <w:tcW w:w="2318" w:type="dxa"/>
          </w:tcPr>
          <w:p w:rsidR="00A978A5" w:rsidRDefault="00A978A5" w:rsidP="00A978A5">
            <w:pPr>
              <w:rPr>
                <w:rFonts w:ascii="Arial" w:hAnsi="Arial" w:cs="Arial"/>
                <w:color w:val="43413E"/>
                <w:sz w:val="18"/>
                <w:szCs w:val="18"/>
              </w:rPr>
            </w:pPr>
            <w:r>
              <w:rPr>
                <w:rFonts w:ascii="Arial" w:hAnsi="Arial" w:cs="Arial"/>
                <w:color w:val="43413E"/>
                <w:sz w:val="18"/>
                <w:szCs w:val="18"/>
              </w:rPr>
              <w:t>As technology has changed, how has it changed the way we make music?</w:t>
            </w:r>
          </w:p>
        </w:tc>
        <w:tc>
          <w:tcPr>
            <w:tcW w:w="1793"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Contemporary technology allows people to share and collaborate on musical ideas. </w:t>
            </w:r>
          </w:p>
        </w:tc>
        <w:tc>
          <w:tcPr>
            <w:tcW w:w="2147"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Collaborate with others to create a musical work using contemporary technologies. </w:t>
            </w:r>
          </w:p>
        </w:tc>
        <w:tc>
          <w:tcPr>
            <w:tcW w:w="2558" w:type="dxa"/>
          </w:tcPr>
          <w:p w:rsidR="00A978A5" w:rsidRDefault="00A978A5" w:rsidP="00A978A5">
            <w:pPr>
              <w:jc w:val="center"/>
              <w:rPr>
                <w:rFonts w:ascii="Arial" w:hAnsi="Arial" w:cs="Arial"/>
                <w:color w:val="43413E"/>
                <w:sz w:val="18"/>
                <w:szCs w:val="18"/>
              </w:rPr>
            </w:pPr>
            <w:hyperlink r:id="rId12" w:anchor="22287?cf=y " w:tgtFrame="_blank" w:tooltip="Analyze and evaluate the use of  traditional and contemporary  technologies for producing,  performing and exhibiting works in  the arts or the works of others.  Analyze traditional technologies  (e.g., acid printing, etching  methods, musical instruments,  costume materials, eight track  recording, super 8 movies).  Analyze contemporary  technologies (e.g., virtual reality  design, instrument enhancements,  photographic tools, broadcast  equipment, film cameras,  preservation tools, web graphics,  computer generated marching band  designs). " w:history="1">
              <w:r>
                <w:rPr>
                  <w:rFonts w:ascii="Arial" w:hAnsi="Arial" w:cs="Arial"/>
                  <w:color w:val="0000FF"/>
                  <w:sz w:val="16"/>
                  <w:szCs w:val="16"/>
                  <w:u w:val="single"/>
                </w:rPr>
                <w:t>9.1.12.J</w:t>
              </w:r>
            </w:hyperlink>
            <w:r>
              <w:rPr>
                <w:rFonts w:ascii="Arial" w:hAnsi="Arial" w:cs="Arial"/>
                <w:color w:val="43413E"/>
                <w:sz w:val="18"/>
                <w:szCs w:val="18"/>
              </w:rPr>
              <w:t xml:space="preserve">, </w:t>
            </w:r>
            <w:hyperlink r:id="rId13" w:anchor="22288?cf=y " w:tgtFrame="_blank" w:tooltip="Analyze and evaluate the use of  traditional and contemporary  technologies in furthering knowledge  and understanding in the humanities." w:history="1">
              <w:r>
                <w:rPr>
                  <w:rFonts w:ascii="Arial" w:hAnsi="Arial" w:cs="Arial"/>
                  <w:color w:val="0000FF"/>
                  <w:sz w:val="16"/>
                  <w:szCs w:val="16"/>
                  <w:u w:val="single"/>
                </w:rPr>
                <w:t>9.1.12.K</w:t>
              </w:r>
            </w:hyperlink>
            <w:r>
              <w:rPr>
                <w:rFonts w:ascii="Arial" w:hAnsi="Arial" w:cs="Arial"/>
                <w:color w:val="43413E"/>
                <w:sz w:val="18"/>
                <w:szCs w:val="18"/>
              </w:rPr>
              <w:t xml:space="preserve"> </w:t>
            </w:r>
          </w:p>
        </w:tc>
      </w:tr>
      <w:tr w:rsidR="00A978A5" w:rsidRPr="00813549" w:rsidTr="00F000E8">
        <w:tc>
          <w:tcPr>
            <w:tcW w:w="1254" w:type="dxa"/>
          </w:tcPr>
          <w:p w:rsidR="00A978A5" w:rsidRPr="00813549" w:rsidRDefault="005F6174" w:rsidP="00A978A5">
            <w:r>
              <w:t>1.D</w:t>
            </w:r>
          </w:p>
        </w:tc>
        <w:tc>
          <w:tcPr>
            <w:tcW w:w="2795" w:type="dxa"/>
          </w:tcPr>
          <w:p w:rsidR="00A978A5" w:rsidRPr="00A978A5" w:rsidRDefault="00A978A5" w:rsidP="00A978A5">
            <w:r w:rsidRPr="00A978A5">
              <w:t>Humans have expressed experiences and ideas through the arts throughout time and across cultures.</w:t>
            </w:r>
          </w:p>
        </w:tc>
        <w:tc>
          <w:tcPr>
            <w:tcW w:w="2318" w:type="dxa"/>
          </w:tcPr>
          <w:p w:rsidR="00A978A5" w:rsidRDefault="00A978A5" w:rsidP="00A978A5">
            <w:pPr>
              <w:rPr>
                <w:rFonts w:ascii="Arial" w:hAnsi="Arial" w:cs="Arial"/>
                <w:color w:val="43413E"/>
                <w:sz w:val="18"/>
                <w:szCs w:val="18"/>
              </w:rPr>
            </w:pPr>
            <w:r>
              <w:rPr>
                <w:rFonts w:ascii="Arial" w:hAnsi="Arial" w:cs="Arial"/>
                <w:color w:val="43413E"/>
                <w:sz w:val="18"/>
                <w:szCs w:val="18"/>
              </w:rPr>
              <w:t>How and why do works in the different arts disciplines share characteristics?</w:t>
            </w:r>
          </w:p>
        </w:tc>
        <w:tc>
          <w:tcPr>
            <w:tcW w:w="1793"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There are similarities between works in different arts disciplines from different time periods and different cultures. </w:t>
            </w:r>
          </w:p>
        </w:tc>
        <w:tc>
          <w:tcPr>
            <w:tcW w:w="2147"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Explain similarities between works in dance, music, theatre and visual arts in various cultural and historical contexts. </w:t>
            </w:r>
          </w:p>
        </w:tc>
        <w:tc>
          <w:tcPr>
            <w:tcW w:w="2558" w:type="dxa"/>
          </w:tcPr>
          <w:p w:rsidR="00A978A5" w:rsidRDefault="00A978A5" w:rsidP="00A978A5">
            <w:pPr>
              <w:jc w:val="center"/>
              <w:rPr>
                <w:rFonts w:ascii="Arial" w:hAnsi="Arial" w:cs="Arial"/>
                <w:color w:val="43413E"/>
                <w:sz w:val="18"/>
                <w:szCs w:val="18"/>
              </w:rPr>
            </w:pPr>
            <w:hyperlink r:id="rId14" w:anchor="22334?cf=y " w:tgtFrame="_blank" w:tooltip="Analyze how historical events and culture impact forms, techniques and purposes of works in the arts (e.g., Gilbert and Sullivan operettas)" w:history="1">
              <w:r>
                <w:rPr>
                  <w:rFonts w:ascii="Arial" w:hAnsi="Arial" w:cs="Arial"/>
                  <w:color w:val="0000FF"/>
                  <w:sz w:val="16"/>
                  <w:szCs w:val="16"/>
                  <w:u w:val="single"/>
                </w:rPr>
                <w:t>9.2.12.E</w:t>
              </w:r>
            </w:hyperlink>
            <w:r>
              <w:rPr>
                <w:rFonts w:ascii="Arial" w:hAnsi="Arial" w:cs="Arial"/>
                <w:color w:val="43413E"/>
                <w:sz w:val="18"/>
                <w:szCs w:val="18"/>
              </w:rPr>
              <w:t xml:space="preserve">, </w:t>
            </w:r>
            <w:hyperlink r:id="rId15" w:anchor="22341?cf=y " w:tgtFrame="_blank" w:tooltip="Identify, explain and analyze common themes, forms and techniques from works in the arts (e.g., Copland and Graham’s Appalachian Spring and Millet’s The Gleaners)." w:history="1">
              <w:r>
                <w:rPr>
                  <w:rFonts w:ascii="Arial" w:hAnsi="Arial" w:cs="Arial"/>
                  <w:color w:val="0000FF"/>
                  <w:sz w:val="16"/>
                  <w:szCs w:val="16"/>
                  <w:u w:val="single"/>
                </w:rPr>
                <w:t>9.2.12.L</w:t>
              </w:r>
            </w:hyperlink>
            <w:r>
              <w:rPr>
                <w:rFonts w:ascii="Arial" w:hAnsi="Arial" w:cs="Arial"/>
                <w:color w:val="43413E"/>
                <w:sz w:val="18"/>
                <w:szCs w:val="18"/>
              </w:rPr>
              <w:t xml:space="preserve"> </w:t>
            </w:r>
          </w:p>
        </w:tc>
      </w:tr>
      <w:tr w:rsidR="00A978A5" w:rsidRPr="00813549" w:rsidTr="00F000E8">
        <w:tc>
          <w:tcPr>
            <w:tcW w:w="1254" w:type="dxa"/>
          </w:tcPr>
          <w:p w:rsidR="00A978A5" w:rsidRPr="00813549" w:rsidRDefault="005F6174" w:rsidP="00A978A5">
            <w:r>
              <w:t>1.E</w:t>
            </w:r>
          </w:p>
        </w:tc>
        <w:tc>
          <w:tcPr>
            <w:tcW w:w="2795" w:type="dxa"/>
          </w:tcPr>
          <w:p w:rsidR="00A978A5" w:rsidRPr="00A978A5" w:rsidRDefault="00A978A5" w:rsidP="00A978A5">
            <w:r w:rsidRPr="00A978A5">
              <w:t>There are formal and informal processes used to assess the quality of works in the arts.</w:t>
            </w:r>
          </w:p>
        </w:tc>
        <w:tc>
          <w:tcPr>
            <w:tcW w:w="2318" w:type="dxa"/>
          </w:tcPr>
          <w:p w:rsidR="00A978A5" w:rsidRDefault="00A978A5" w:rsidP="00A978A5">
            <w:pPr>
              <w:rPr>
                <w:rFonts w:ascii="Arial" w:hAnsi="Arial" w:cs="Arial"/>
                <w:color w:val="43413E"/>
                <w:sz w:val="18"/>
                <w:szCs w:val="18"/>
              </w:rPr>
            </w:pPr>
            <w:r>
              <w:rPr>
                <w:rFonts w:ascii="Arial" w:hAnsi="Arial" w:cs="Arial"/>
                <w:color w:val="43413E"/>
                <w:sz w:val="18"/>
                <w:szCs w:val="18"/>
              </w:rPr>
              <w:t>How do musicians compare their work to the work of others?</w:t>
            </w:r>
          </w:p>
        </w:tc>
        <w:tc>
          <w:tcPr>
            <w:tcW w:w="1793"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Musicians use both aesthetic and critical processes to assess their own work and compare it to the works of others. </w:t>
            </w:r>
          </w:p>
        </w:tc>
        <w:tc>
          <w:tcPr>
            <w:tcW w:w="2147"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Analyze their own performances and compositions and make judgments about their own works as compared with those of other performers and composers. </w:t>
            </w:r>
          </w:p>
        </w:tc>
        <w:tc>
          <w:tcPr>
            <w:tcW w:w="2558" w:type="dxa"/>
          </w:tcPr>
          <w:p w:rsidR="00A978A5" w:rsidRDefault="00A978A5" w:rsidP="00A978A5">
            <w:pPr>
              <w:jc w:val="center"/>
              <w:rPr>
                <w:rFonts w:ascii="Arial" w:hAnsi="Arial" w:cs="Arial"/>
                <w:color w:val="43413E"/>
                <w:sz w:val="18"/>
                <w:szCs w:val="18"/>
              </w:rPr>
            </w:pPr>
            <w:hyperlink r:id="rId16" w:anchor="22368?cf=y " w:tgtFrame="_blank" w:tooltip="Explain and apply the critical  examination processes of works in  the arts and humanities.  Compare and contrast  Analyze  Interpret  Form and test hypotheses  Evaluate/form judgments " w:history="1">
              <w:r>
                <w:rPr>
                  <w:rFonts w:ascii="Arial" w:hAnsi="Arial" w:cs="Arial"/>
                  <w:color w:val="0000FF"/>
                  <w:sz w:val="16"/>
                  <w:szCs w:val="16"/>
                  <w:u w:val="single"/>
                </w:rPr>
                <w:t>9.3.12.A</w:t>
              </w:r>
            </w:hyperlink>
            <w:r>
              <w:rPr>
                <w:rFonts w:ascii="Arial" w:hAnsi="Arial" w:cs="Arial"/>
                <w:color w:val="43413E"/>
                <w:sz w:val="18"/>
                <w:szCs w:val="18"/>
              </w:rPr>
              <w:t xml:space="preserve">, </w:t>
            </w:r>
            <w:hyperlink r:id="rId17" w:anchor="22369?cf=y " w:tgtFrame="_blank" w:tooltip="Determine and apply criteria to a  person’s work and works of others in  the arts (e.g., use visual scanning  techniques to critique the student’s  own use of sculptural space in  comparison to Julio Gonzales’ use of  space in Woman Combing Her Hair)." w:history="1">
              <w:r>
                <w:rPr>
                  <w:rFonts w:ascii="Arial" w:hAnsi="Arial" w:cs="Arial"/>
                  <w:color w:val="0000FF"/>
                  <w:sz w:val="16"/>
                  <w:szCs w:val="16"/>
                  <w:u w:val="single"/>
                </w:rPr>
                <w:t>9.3.12.B</w:t>
              </w:r>
            </w:hyperlink>
            <w:r>
              <w:rPr>
                <w:rFonts w:ascii="Arial" w:hAnsi="Arial" w:cs="Arial"/>
                <w:color w:val="43413E"/>
                <w:sz w:val="18"/>
                <w:szCs w:val="18"/>
              </w:rPr>
              <w:t xml:space="preserve">, </w:t>
            </w:r>
            <w:hyperlink r:id="rId18" w:anchor="22374?cf=y " w:tgtFrame="_blank" w:tooltip="Analyze works in the arts by  referencing the judgments advanced by  arts critics as well as one’s own  analysis and critique." w:history="1">
              <w:r>
                <w:rPr>
                  <w:rFonts w:ascii="Arial" w:hAnsi="Arial" w:cs="Arial"/>
                  <w:color w:val="0000FF"/>
                  <w:sz w:val="16"/>
                  <w:szCs w:val="16"/>
                  <w:u w:val="single"/>
                </w:rPr>
                <w:t>9.3.12.G</w:t>
              </w:r>
            </w:hyperlink>
            <w:r>
              <w:rPr>
                <w:rFonts w:ascii="Arial" w:hAnsi="Arial" w:cs="Arial"/>
                <w:color w:val="43413E"/>
                <w:sz w:val="18"/>
                <w:szCs w:val="18"/>
              </w:rPr>
              <w:t xml:space="preserve"> </w:t>
            </w:r>
          </w:p>
        </w:tc>
      </w:tr>
      <w:tr w:rsidR="00A978A5" w:rsidRPr="00813549" w:rsidTr="00F000E8">
        <w:tc>
          <w:tcPr>
            <w:tcW w:w="1254" w:type="dxa"/>
          </w:tcPr>
          <w:p w:rsidR="00A978A5" w:rsidRPr="00813549" w:rsidRDefault="005F6174" w:rsidP="00A978A5">
            <w:r>
              <w:t>1.F</w:t>
            </w:r>
            <w:bookmarkStart w:id="0" w:name="_GoBack"/>
            <w:bookmarkEnd w:id="0"/>
          </w:p>
        </w:tc>
        <w:tc>
          <w:tcPr>
            <w:tcW w:w="2795" w:type="dxa"/>
          </w:tcPr>
          <w:p w:rsidR="00A978A5" w:rsidRPr="00A978A5" w:rsidRDefault="00A978A5" w:rsidP="00A978A5">
            <w:r w:rsidRPr="00A978A5">
              <w:t>People use both aesthetic and critical processes to assess quality, interpret meaning and determine value.</w:t>
            </w:r>
          </w:p>
        </w:tc>
        <w:tc>
          <w:tcPr>
            <w:tcW w:w="2318" w:type="dxa"/>
          </w:tcPr>
          <w:p w:rsidR="00A978A5" w:rsidRDefault="00A978A5" w:rsidP="00A978A5">
            <w:pPr>
              <w:rPr>
                <w:rFonts w:ascii="Arial" w:hAnsi="Arial" w:cs="Arial"/>
                <w:color w:val="43413E"/>
                <w:sz w:val="18"/>
                <w:szCs w:val="18"/>
              </w:rPr>
            </w:pPr>
            <w:r>
              <w:rPr>
                <w:rFonts w:ascii="Arial" w:hAnsi="Arial" w:cs="Arial"/>
                <w:color w:val="43413E"/>
                <w:sz w:val="18"/>
                <w:szCs w:val="18"/>
              </w:rPr>
              <w:t>What decisions do musicians make to influence the way people experience their work?</w:t>
            </w:r>
          </w:p>
        </w:tc>
        <w:tc>
          <w:tcPr>
            <w:tcW w:w="1793"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Musicians make choices that influence the way people experience their work. </w:t>
            </w:r>
          </w:p>
        </w:tc>
        <w:tc>
          <w:tcPr>
            <w:tcW w:w="2147" w:type="dxa"/>
          </w:tcPr>
          <w:p w:rsidR="00A978A5" w:rsidRDefault="00A978A5" w:rsidP="00A978A5">
            <w:pPr>
              <w:rPr>
                <w:rFonts w:ascii="Arial" w:hAnsi="Arial" w:cs="Arial"/>
                <w:color w:val="43413E"/>
                <w:sz w:val="18"/>
                <w:szCs w:val="18"/>
              </w:rPr>
            </w:pPr>
            <w:r>
              <w:rPr>
                <w:rFonts w:ascii="Arial" w:hAnsi="Arial" w:cs="Arial"/>
                <w:color w:val="43413E"/>
                <w:sz w:val="18"/>
                <w:szCs w:val="18"/>
              </w:rPr>
              <w:t xml:space="preserve">Analyze the ways in which a musician’s use of rhythm, melody, harmony, form, texture and expressive qualities influence an audience’s response to the music. </w:t>
            </w:r>
          </w:p>
        </w:tc>
        <w:tc>
          <w:tcPr>
            <w:tcW w:w="2558" w:type="dxa"/>
          </w:tcPr>
          <w:p w:rsidR="00A978A5" w:rsidRDefault="00A978A5" w:rsidP="00A978A5">
            <w:pPr>
              <w:jc w:val="center"/>
              <w:rPr>
                <w:rFonts w:ascii="Arial" w:hAnsi="Arial" w:cs="Arial"/>
                <w:color w:val="43413E"/>
                <w:sz w:val="18"/>
                <w:szCs w:val="18"/>
              </w:rPr>
            </w:pPr>
            <w:hyperlink r:id="rId19" w:anchor="22370?cf=y " w:tgtFrame="_blank" w:tooltip="Apply systems of classification for  interpreting works in the arts and  forming a critical response." w:history="1">
              <w:r>
                <w:rPr>
                  <w:rFonts w:ascii="Arial" w:hAnsi="Arial" w:cs="Arial"/>
                  <w:color w:val="0000FF"/>
                  <w:sz w:val="16"/>
                  <w:szCs w:val="16"/>
                  <w:u w:val="single"/>
                </w:rPr>
                <w:t>9.3.12.C</w:t>
              </w:r>
            </w:hyperlink>
            <w:r>
              <w:rPr>
                <w:rFonts w:ascii="Arial" w:hAnsi="Arial" w:cs="Arial"/>
                <w:color w:val="43413E"/>
                <w:sz w:val="18"/>
                <w:szCs w:val="18"/>
              </w:rPr>
              <w:t xml:space="preserve">, </w:t>
            </w:r>
            <w:hyperlink r:id="rId20" w:anchor="22394?cf=y " w:tgtFrame="_blank" w:tooltip="Compare and contrast the attributes of  various audiences’ environments as  they influence individual aesthetic  response (e.g., viewing traditional Irish dance at county fair versus the  performance of River Dance in a  concert hall)." w:history="1">
              <w:r>
                <w:rPr>
                  <w:rFonts w:ascii="Arial" w:hAnsi="Arial" w:cs="Arial"/>
                  <w:color w:val="0000FF"/>
                  <w:sz w:val="16"/>
                  <w:szCs w:val="16"/>
                  <w:u w:val="single"/>
                </w:rPr>
                <w:t>9.4.12.C</w:t>
              </w:r>
            </w:hyperlink>
            <w:r>
              <w:rPr>
                <w:rFonts w:ascii="Arial" w:hAnsi="Arial" w:cs="Arial"/>
                <w:color w:val="43413E"/>
                <w:sz w:val="18"/>
                <w:szCs w:val="18"/>
              </w:rPr>
              <w:t xml:space="preserve"> </w:t>
            </w:r>
          </w:p>
        </w:tc>
      </w:tr>
    </w:tbl>
    <w:p w:rsidR="00A978A5" w:rsidRDefault="00A978A5" w:rsidP="00A978A5">
      <w:pPr>
        <w:jc w:val="center"/>
      </w:pPr>
    </w:p>
    <w:sectPr w:rsidR="00A978A5" w:rsidSect="00A978A5">
      <w:footerReference w:type="default" r:id="rId2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8A5" w:rsidRDefault="00A978A5" w:rsidP="00A978A5">
      <w:pPr>
        <w:spacing w:after="0" w:line="240" w:lineRule="auto"/>
      </w:pPr>
      <w:r>
        <w:separator/>
      </w:r>
    </w:p>
  </w:endnote>
  <w:endnote w:type="continuationSeparator" w:id="0">
    <w:p w:rsidR="00A978A5" w:rsidRDefault="00A978A5" w:rsidP="00A97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71601"/>
      <w:docPartObj>
        <w:docPartGallery w:val="Page Numbers (Bottom of Page)"/>
        <w:docPartUnique/>
      </w:docPartObj>
    </w:sdtPr>
    <w:sdtEndPr>
      <w:rPr>
        <w:noProof/>
      </w:rPr>
    </w:sdtEndPr>
    <w:sdtContent>
      <w:p w:rsidR="00A978A5" w:rsidRDefault="00A978A5">
        <w:pPr>
          <w:pStyle w:val="Footer"/>
          <w:jc w:val="right"/>
        </w:pPr>
        <w:r>
          <w:fldChar w:fldCharType="begin"/>
        </w:r>
        <w:r>
          <w:instrText xml:space="preserve"> PAGE   \* MERGEFORMAT </w:instrText>
        </w:r>
        <w:r>
          <w:fldChar w:fldCharType="separate"/>
        </w:r>
        <w:r w:rsidR="005F6174">
          <w:rPr>
            <w:noProof/>
          </w:rPr>
          <w:t>2</w:t>
        </w:r>
        <w:r>
          <w:rPr>
            <w:noProof/>
          </w:rPr>
          <w:fldChar w:fldCharType="end"/>
        </w:r>
      </w:p>
    </w:sdtContent>
  </w:sdt>
  <w:p w:rsidR="00A978A5" w:rsidRDefault="00A978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8A5" w:rsidRDefault="00A978A5" w:rsidP="00A978A5">
      <w:pPr>
        <w:spacing w:after="0" w:line="240" w:lineRule="auto"/>
      </w:pPr>
      <w:r>
        <w:separator/>
      </w:r>
    </w:p>
  </w:footnote>
  <w:footnote w:type="continuationSeparator" w:id="0">
    <w:p w:rsidR="00A978A5" w:rsidRDefault="00A978A5" w:rsidP="00A978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8A5"/>
    <w:rsid w:val="00280818"/>
    <w:rsid w:val="005F6174"/>
    <w:rsid w:val="00A978A5"/>
    <w:rsid w:val="00E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F19D9D-A66D-40E4-893A-156145EEF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78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978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8A5"/>
  </w:style>
  <w:style w:type="paragraph" w:styleId="Footer">
    <w:name w:val="footer"/>
    <w:basedOn w:val="Normal"/>
    <w:link w:val="FooterChar"/>
    <w:uiPriority w:val="99"/>
    <w:unhideWhenUsed/>
    <w:rsid w:val="00A978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583074">
      <w:bodyDiv w:val="1"/>
      <w:marLeft w:val="0"/>
      <w:marRight w:val="0"/>
      <w:marTop w:val="0"/>
      <w:marBottom w:val="0"/>
      <w:divBdr>
        <w:top w:val="none" w:sz="0" w:space="0" w:color="auto"/>
        <w:left w:val="none" w:sz="0" w:space="0" w:color="auto"/>
        <w:bottom w:val="none" w:sz="0" w:space="0" w:color="auto"/>
        <w:right w:val="none" w:sz="0" w:space="0" w:color="auto"/>
      </w:divBdr>
      <w:divsChild>
        <w:div w:id="1709872">
          <w:marLeft w:val="0"/>
          <w:marRight w:val="0"/>
          <w:marTop w:val="0"/>
          <w:marBottom w:val="0"/>
          <w:divBdr>
            <w:top w:val="none" w:sz="0" w:space="0" w:color="auto"/>
            <w:left w:val="none" w:sz="0" w:space="0" w:color="auto"/>
            <w:bottom w:val="none" w:sz="0" w:space="0" w:color="auto"/>
            <w:right w:val="none" w:sz="0" w:space="0" w:color="auto"/>
          </w:divBdr>
          <w:divsChild>
            <w:div w:id="710962704">
              <w:marLeft w:val="0"/>
              <w:marRight w:val="0"/>
              <w:marTop w:val="0"/>
              <w:marBottom w:val="0"/>
              <w:divBdr>
                <w:top w:val="none" w:sz="0" w:space="0" w:color="auto"/>
                <w:left w:val="none" w:sz="0" w:space="0" w:color="auto"/>
                <w:bottom w:val="none" w:sz="0" w:space="0" w:color="auto"/>
                <w:right w:val="none" w:sz="0" w:space="0" w:color="auto"/>
              </w:divBdr>
              <w:divsChild>
                <w:div w:id="1246647603">
                  <w:marLeft w:val="0"/>
                  <w:marRight w:val="0"/>
                  <w:marTop w:val="0"/>
                  <w:marBottom w:val="0"/>
                  <w:divBdr>
                    <w:top w:val="none" w:sz="0" w:space="0" w:color="auto"/>
                    <w:left w:val="none" w:sz="0" w:space="0" w:color="auto"/>
                    <w:bottom w:val="none" w:sz="0" w:space="0" w:color="auto"/>
                    <w:right w:val="none" w:sz="0" w:space="0" w:color="auto"/>
                  </w:divBdr>
                  <w:divsChild>
                    <w:div w:id="1081637922">
                      <w:marLeft w:val="0"/>
                      <w:marRight w:val="0"/>
                      <w:marTop w:val="0"/>
                      <w:marBottom w:val="0"/>
                      <w:divBdr>
                        <w:top w:val="none" w:sz="0" w:space="0" w:color="auto"/>
                        <w:left w:val="none" w:sz="0" w:space="0" w:color="auto"/>
                        <w:bottom w:val="none" w:sz="0" w:space="0" w:color="auto"/>
                        <w:right w:val="none" w:sz="0" w:space="0" w:color="auto"/>
                      </w:divBdr>
                      <w:divsChild>
                        <w:div w:id="1176731468">
                          <w:marLeft w:val="0"/>
                          <w:marRight w:val="0"/>
                          <w:marTop w:val="0"/>
                          <w:marBottom w:val="0"/>
                          <w:divBdr>
                            <w:top w:val="none" w:sz="0" w:space="0" w:color="auto"/>
                            <w:left w:val="none" w:sz="0" w:space="0" w:color="auto"/>
                            <w:bottom w:val="none" w:sz="0" w:space="0" w:color="auto"/>
                            <w:right w:val="none" w:sz="0" w:space="0" w:color="auto"/>
                          </w:divBdr>
                        </w:div>
                      </w:divsChild>
                    </w:div>
                    <w:div w:id="1145241705">
                      <w:marLeft w:val="0"/>
                      <w:marRight w:val="0"/>
                      <w:marTop w:val="0"/>
                      <w:marBottom w:val="0"/>
                      <w:divBdr>
                        <w:top w:val="none" w:sz="0" w:space="0" w:color="auto"/>
                        <w:left w:val="none" w:sz="0" w:space="0" w:color="auto"/>
                        <w:bottom w:val="none" w:sz="0" w:space="0" w:color="auto"/>
                        <w:right w:val="none" w:sz="0" w:space="0" w:color="auto"/>
                      </w:divBdr>
                    </w:div>
                    <w:div w:id="505049268">
                      <w:marLeft w:val="0"/>
                      <w:marRight w:val="0"/>
                      <w:marTop w:val="0"/>
                      <w:marBottom w:val="0"/>
                      <w:divBdr>
                        <w:top w:val="none" w:sz="0" w:space="0" w:color="auto"/>
                        <w:left w:val="none" w:sz="0" w:space="0" w:color="auto"/>
                        <w:bottom w:val="none" w:sz="0" w:space="0" w:color="auto"/>
                        <w:right w:val="none" w:sz="0" w:space="0" w:color="auto"/>
                      </w:divBdr>
                      <w:divsChild>
                        <w:div w:id="820121163">
                          <w:marLeft w:val="0"/>
                          <w:marRight w:val="0"/>
                          <w:marTop w:val="0"/>
                          <w:marBottom w:val="0"/>
                          <w:divBdr>
                            <w:top w:val="none" w:sz="0" w:space="0" w:color="auto"/>
                            <w:left w:val="none" w:sz="0" w:space="0" w:color="auto"/>
                            <w:bottom w:val="none" w:sz="0" w:space="0" w:color="auto"/>
                            <w:right w:val="none" w:sz="0" w:space="0" w:color="auto"/>
                          </w:divBdr>
                          <w:divsChild>
                            <w:div w:id="6937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esas.org/Standard/StandardsBrowser" TargetMode="External"/><Relationship Id="rId13" Type="http://schemas.openxmlformats.org/officeDocument/2006/relationships/hyperlink" Target="http://www.pdesas.org/Standard/StandardsBrowser" TargetMode="External"/><Relationship Id="rId18" Type="http://schemas.openxmlformats.org/officeDocument/2006/relationships/hyperlink" Target="http://www.pdesas.org/Standard/StandardsBrowser"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www.pdesas.org/Standard/StandardsBrowser" TargetMode="External"/><Relationship Id="rId12" Type="http://schemas.openxmlformats.org/officeDocument/2006/relationships/hyperlink" Target="http://www.pdesas.org/Standard/StandardsBrowser" TargetMode="External"/><Relationship Id="rId17" Type="http://schemas.openxmlformats.org/officeDocument/2006/relationships/hyperlink" Target="http://www.pdesas.org/Standard/StandardsBrowser" TargetMode="External"/><Relationship Id="rId2" Type="http://schemas.openxmlformats.org/officeDocument/2006/relationships/settings" Target="settings.xml"/><Relationship Id="rId16" Type="http://schemas.openxmlformats.org/officeDocument/2006/relationships/hyperlink" Target="http://www.pdesas.org/Standard/StandardsBrowser" TargetMode="External"/><Relationship Id="rId20" Type="http://schemas.openxmlformats.org/officeDocument/2006/relationships/hyperlink" Target="http://www.pdesas.org/Standard/StandardsBrowser" TargetMode="External"/><Relationship Id="rId1" Type="http://schemas.openxmlformats.org/officeDocument/2006/relationships/styles" Target="styles.xml"/><Relationship Id="rId6" Type="http://schemas.openxmlformats.org/officeDocument/2006/relationships/hyperlink" Target="http://www.pdesas.org/Standard/StandardsBrowser" TargetMode="External"/><Relationship Id="rId11" Type="http://schemas.openxmlformats.org/officeDocument/2006/relationships/hyperlink" Target="http://www.pdesas.org/Standard/StandardsBrowser" TargetMode="External"/><Relationship Id="rId5" Type="http://schemas.openxmlformats.org/officeDocument/2006/relationships/endnotes" Target="endnotes.xml"/><Relationship Id="rId15" Type="http://schemas.openxmlformats.org/officeDocument/2006/relationships/hyperlink" Target="http://www.pdesas.org/Standard/StandardsBrowser" TargetMode="External"/><Relationship Id="rId23" Type="http://schemas.openxmlformats.org/officeDocument/2006/relationships/theme" Target="theme/theme1.xml"/><Relationship Id="rId10" Type="http://schemas.openxmlformats.org/officeDocument/2006/relationships/hyperlink" Target="http://www.pdesas.org/Standard/StandardsBrowser" TargetMode="External"/><Relationship Id="rId19" Type="http://schemas.openxmlformats.org/officeDocument/2006/relationships/hyperlink" Target="http://www.pdesas.org/Standard/StandardsBrowser" TargetMode="External"/><Relationship Id="rId4" Type="http://schemas.openxmlformats.org/officeDocument/2006/relationships/footnotes" Target="footnotes.xml"/><Relationship Id="rId9" Type="http://schemas.openxmlformats.org/officeDocument/2006/relationships/hyperlink" Target="http://www.pdesas.org/Standard/StandardsBrowser" TargetMode="External"/><Relationship Id="rId14" Type="http://schemas.openxmlformats.org/officeDocument/2006/relationships/hyperlink" Target="http://www.pdesas.org/Standard/StandardsBrows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1211</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2</cp:revision>
  <dcterms:created xsi:type="dcterms:W3CDTF">2013-05-31T17:22:00Z</dcterms:created>
  <dcterms:modified xsi:type="dcterms:W3CDTF">2013-05-31T17:29:00Z</dcterms:modified>
</cp:coreProperties>
</file>